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hanging="0" w:left="0" w:right="-173"/>
        <w:jc w:val="center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3835400</wp:posOffset>
            </wp:positionH>
            <wp:positionV relativeFrom="line">
              <wp:posOffset>0</wp:posOffset>
            </wp:positionV>
            <wp:extent cx="434340" cy="467995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ind w:hanging="0" w:left="0" w:right="-173"/>
        <w:jc w:val="center"/>
      </w:pPr>
      <w:r>
        <w:rPr/>
      </w:r>
    </w:p>
    <w:p>
      <w:pPr>
        <w:pStyle w:val="style0"/>
        <w:ind w:hanging="0" w:left="0" w:right="-173"/>
        <w:jc w:val="center"/>
      </w:pPr>
      <w:r>
        <w:rPr/>
      </w:r>
    </w:p>
    <w:p>
      <w:pPr>
        <w:pStyle w:val="style0"/>
        <w:ind w:hanging="0" w:left="0" w:right="-173"/>
        <w:jc w:val="center"/>
      </w:pPr>
      <w:r>
        <w:rPr>
          <w:rFonts w:ascii="Monotype Corsiva" w:hAnsi="Monotype Corsiva"/>
          <w:sz w:val="30"/>
          <w:szCs w:val="30"/>
        </w:rPr>
        <w:t>Câmara Municipal de Domingos Martins</w:t>
      </w:r>
    </w:p>
    <w:p>
      <w:pPr>
        <w:pStyle w:val="style0"/>
        <w:ind w:hanging="0" w:left="0" w:right="-173"/>
        <w:jc w:val="center"/>
      </w:pPr>
      <w:r>
        <w:rPr>
          <w:sz w:val="20"/>
          <w:szCs w:val="20"/>
        </w:rPr>
        <w:t>Estado do Espírito Santo</w:t>
      </w:r>
    </w:p>
    <w:p>
      <w:pPr>
        <w:pStyle w:val="style0"/>
        <w:ind w:hanging="0" w:left="0" w:right="-173"/>
        <w:jc w:val="center"/>
      </w:pPr>
      <w:r>
        <w:rPr>
          <w:sz w:val="20"/>
          <w:szCs w:val="20"/>
        </w:rPr>
        <w:t>Rua Roberto Carlos Kautsky, n° 401 – Domingos Martins – ES – CEP: 29260-000</w:t>
      </w:r>
    </w:p>
    <w:p>
      <w:pPr>
        <w:pStyle w:val="style0"/>
        <w:ind w:hanging="0" w:left="0" w:right="-173"/>
        <w:jc w:val="center"/>
      </w:pPr>
      <w:r>
        <w:rPr>
          <w:sz w:val="20"/>
          <w:szCs w:val="20"/>
        </w:rPr>
        <w:t xml:space="preserve">Caixa Postal 47 – Telefax: (27)3268-1123 Telefones: (27) 3268-3143/3268-2396 </w:t>
      </w:r>
    </w:p>
    <w:p>
      <w:pPr>
        <w:pStyle w:val="style0"/>
        <w:ind w:hanging="0" w:left="1701" w:right="849"/>
        <w:jc w:val="center"/>
      </w:pPr>
      <w:r>
        <w:rPr>
          <w:sz w:val="20"/>
          <w:szCs w:val="20"/>
        </w:rPr>
        <w:t xml:space="preserve">Site: </w:t>
      </w:r>
      <w:hyperlink r:id="rId3">
        <w:r>
          <w:rPr>
            <w:rStyle w:val="style18"/>
            <w:rStyle w:val="style18"/>
            <w:sz w:val="20"/>
            <w:szCs w:val="20"/>
          </w:rPr>
          <w:t>www.camaradomingosmartins.es.gov.br</w:t>
        </w:r>
      </w:hyperlink>
    </w:p>
    <w:p>
      <w:pPr>
        <w:pStyle w:val="style34"/>
        <w:ind w:hanging="0" w:left="0" w:right="-173"/>
        <w:jc w:val="center"/>
      </w:pPr>
      <w:r>
        <w:rPr>
          <w:rFonts w:ascii="Times New Roman" w:cs="Times New Roman" w:eastAsia="Lucida Sans Unicode" w:hAnsi="Times New Roman"/>
          <w:color w:val="000000"/>
          <w:sz w:val="20"/>
        </w:rPr>
        <w:t xml:space="preserve">e-mail: </w:t>
      </w:r>
      <w:hyperlink r:id="rId4">
        <w:r>
          <w:rPr>
            <w:rStyle w:val="style18"/>
            <w:rStyle w:val="style18"/>
            <w:rFonts w:ascii="Times New Roman" w:cs="Times New Roman" w:hAnsi="Times New Roman"/>
            <w:sz w:val="20"/>
          </w:rPr>
          <w:t>cmdmartins@camaradomingosmartins.es.gov.br</w:t>
        </w:r>
      </w:hyperlink>
    </w:p>
    <w:p>
      <w:pPr>
        <w:pStyle w:val="style0"/>
        <w:jc w:val="center"/>
      </w:pPr>
      <w:r>
        <w:rPr/>
      </w:r>
    </w:p>
    <w:p>
      <w:pPr>
        <w:pStyle w:val="style0"/>
        <w:ind w:hanging="0" w:left="0" w:right="-173"/>
        <w:jc w:val="center"/>
      </w:pPr>
      <w:r>
        <w:rPr>
          <w:bCs/>
          <w:color w:val="000000"/>
          <w:lang w:eastAsia="pt-BR" w:val="pt-PT"/>
        </w:rPr>
        <w:t>COMISSÃO DE LEGISLAÇÃO, JUSTIÇA E REDAÇÃO FINAL</w:t>
      </w:r>
    </w:p>
    <w:p>
      <w:pPr>
        <w:pStyle w:val="style0"/>
        <w:ind w:hanging="0" w:left="0" w:right="-173"/>
        <w:jc w:val="center"/>
      </w:pPr>
      <w:r>
        <w:rPr>
          <w:bCs/>
          <w:color w:val="000000"/>
          <w:lang w:eastAsia="pt-BR" w:val="pt-PT"/>
        </w:rPr>
        <w:t xml:space="preserve">PARECER </w:t>
      </w:r>
    </w:p>
    <w:p>
      <w:pPr>
        <w:pStyle w:val="style33"/>
        <w:shd w:fill="FFFFFF" w:val="clear"/>
        <w:jc w:val="center"/>
      </w:pPr>
      <w:r>
        <w:rPr>
          <w:bCs/>
          <w:color w:val="000000"/>
          <w:lang w:val="pt-PT"/>
        </w:rPr>
        <w:t>RELATIVO AO PROJETO DE LEI Nº18/2014</w:t>
      </w:r>
    </w:p>
    <w:p>
      <w:pPr>
        <w:pStyle w:val="style33"/>
        <w:shd w:fill="FFFFFF" w:val="clear"/>
      </w:pPr>
      <w:r>
        <w:rPr/>
      </w:r>
    </w:p>
    <w:p>
      <w:pPr>
        <w:pStyle w:val="style0"/>
        <w:tabs>
          <w:tab w:leader="none" w:pos="2409" w:val="left"/>
          <w:tab w:leader="none" w:pos="4110" w:val="left"/>
          <w:tab w:leader="none" w:pos="5811" w:val="left"/>
          <w:tab w:leader="none" w:pos="7512" w:val="left"/>
          <w:tab w:leader="none" w:pos="9213" w:val="left"/>
          <w:tab w:leader="none" w:pos="11166" w:val="left"/>
        </w:tabs>
        <w:ind w:hanging="0" w:left="1701" w:right="706"/>
        <w:jc w:val="both"/>
      </w:pPr>
      <w:r>
        <w:rPr>
          <w:color w:val="000000"/>
          <w:lang w:val="pt-PT"/>
        </w:rPr>
        <w:t> </w:t>
      </w:r>
      <w:bookmarkStart w:id="0" w:name="__DdeLink__69_1497436287"/>
      <w:r>
        <w:rPr>
          <w:i w:val="false"/>
          <w:iCs w:val="false"/>
          <w:color w:val="000000"/>
          <w:sz w:val="24"/>
          <w:szCs w:val="24"/>
          <w:lang w:eastAsia="pt-BR" w:val="pt-PT"/>
        </w:rPr>
        <w:t>RELATÓRIO:</w:t>
      </w:r>
      <w:r>
        <w:rPr>
          <w:i w:val="false"/>
          <w:iCs w:val="false"/>
          <w:color w:val="000000"/>
          <w:sz w:val="24"/>
          <w:szCs w:val="24"/>
          <w:shd w:fill="FFFFFF" w:val="clear"/>
        </w:rPr>
        <w:t xml:space="preserve"> </w:t>
      </w:r>
      <w:r>
        <w:rPr>
          <w:rStyle w:val="style20"/>
          <w:i w:val="false"/>
          <w:iCs w:val="false"/>
          <w:color w:val="000000"/>
          <w:sz w:val="24"/>
          <w:szCs w:val="24"/>
          <w:shd w:fill="FFFFFF" w:val="clear"/>
        </w:rPr>
        <w:t> </w:t>
      </w:r>
      <w:r>
        <w:rPr>
          <w:rStyle w:val="style20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Projeto de Lei de autoria do Vereador Emerson Solanger Monhol, que</w:t>
      </w:r>
      <w:r>
        <w:rPr>
          <w:rStyle w:val="style22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 d</w:t>
      </w:r>
      <w:r>
        <w:rPr>
          <w:rStyle w:val="style22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etermina a adoção de medidas impeditivas do acesso de mamíferos silvestres aos fios de alta tensão dos postes de transmissão de energia elétrica, por parte das concessionárias.</w:t>
      </w:r>
      <w:r>
        <w:rPr>
          <w:rStyle w:val="style20"/>
          <w:i w:val="false"/>
          <w:iCs w:val="false"/>
          <w:color w:val="000000"/>
          <w:sz w:val="24"/>
          <w:szCs w:val="24"/>
          <w:shd w:fill="FFFFFF" w:val="clear"/>
        </w:rPr>
        <w:t xml:space="preserve"> </w:t>
      </w:r>
    </w:p>
    <w:p>
      <w:pPr>
        <w:pStyle w:val="style0"/>
        <w:tabs>
          <w:tab w:leader="none" w:pos="708" w:val="left"/>
          <w:tab w:leader="none" w:pos="960" w:val="left"/>
        </w:tabs>
        <w:ind w:hanging="0" w:left="0" w:right="-173"/>
        <w:jc w:val="both"/>
      </w:pPr>
      <w:r>
        <w:rPr/>
      </w:r>
    </w:p>
    <w:p>
      <w:pPr>
        <w:pStyle w:val="style0"/>
        <w:ind w:hanging="0" w:left="1701" w:right="706"/>
        <w:jc w:val="both"/>
      </w:pPr>
      <w:r>
        <w:rPr>
          <w:i w:val="false"/>
          <w:iCs w:val="false"/>
          <w:color w:val="000000"/>
          <w:sz w:val="24"/>
          <w:szCs w:val="24"/>
          <w:lang w:eastAsia="pt-BR" w:val="pt-PT"/>
        </w:rPr>
        <w:t>FUNDAMENTAÇÃO E VOTO DO RELATOR</w:t>
      </w:r>
      <w:r>
        <w:rPr>
          <w:i w:val="false"/>
          <w:iCs w:val="false"/>
          <w:color w:val="000000"/>
          <w:sz w:val="24"/>
          <w:szCs w:val="24"/>
          <w:shd w:fill="FFFFFF" w:val="clear"/>
        </w:rPr>
        <w:t xml:space="preserve">: </w:t>
      </w:r>
      <w:r>
        <w:rPr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O projeto é legal e constitucional, pois, versa sobre assunto de interesse local, haja vista que o nosso Município possui uma expressiva vegetação nativa com uma flora extremamente rica. Com a presente lei as concessionárias de energia elétrica, terão obrigatoriamente que adotar medidas protetivas aos animais, nos locais detectados pela Secretaria de Meio Ambiente, onde ocorrem maiores casos de electrocussão.</w:t>
      </w:r>
      <w:r>
        <w:rPr>
          <w:i w:val="false"/>
          <w:iCs w:val="false"/>
          <w:color w:val="000000"/>
          <w:sz w:val="24"/>
          <w:szCs w:val="24"/>
          <w:shd w:fill="FFFFFF" w:val="clear"/>
        </w:rPr>
        <w:t xml:space="preserve"> </w:t>
      </w:r>
    </w:p>
    <w:p>
      <w:pPr>
        <w:pStyle w:val="style0"/>
        <w:ind w:hanging="0" w:left="1701" w:right="706"/>
        <w:jc w:val="both"/>
      </w:pPr>
      <w:r>
        <w:rPr/>
      </w:r>
    </w:p>
    <w:p>
      <w:pPr>
        <w:pStyle w:val="style0"/>
        <w:ind w:hanging="0" w:left="1701" w:right="706"/>
        <w:jc w:val="both"/>
      </w:pPr>
      <w:r>
        <w:rPr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Por tais razões, profiro voto favorável pela aprovação.</w:t>
      </w:r>
    </w:p>
    <w:p>
      <w:pPr>
        <w:pStyle w:val="style0"/>
        <w:ind w:hanging="0" w:left="1701" w:right="706"/>
        <w:jc w:val="both"/>
      </w:pPr>
      <w:r>
        <w:rPr/>
      </w:r>
    </w:p>
    <w:p>
      <w:pPr>
        <w:pStyle w:val="style0"/>
        <w:ind w:hanging="0" w:left="1701" w:right="706"/>
        <w:jc w:val="both"/>
      </w:pPr>
      <w:r>
        <w:rPr>
          <w:i w:val="false"/>
          <w:iCs w:val="false"/>
          <w:color w:val="000000"/>
          <w:sz w:val="24"/>
          <w:szCs w:val="24"/>
          <w:lang w:eastAsia="pt-BR" w:val="pt-PT"/>
        </w:rPr>
        <w:t>CONCLUSÃO:</w:t>
      </w:r>
      <w:bookmarkEnd w:id="0"/>
      <w:r>
        <w:rPr>
          <w:i w:val="false"/>
          <w:iCs w:val="false"/>
          <w:color w:val="000000"/>
          <w:sz w:val="24"/>
          <w:szCs w:val="24"/>
          <w:shd w:fill="FFFFFF" w:val="clear"/>
        </w:rPr>
        <w:t xml:space="preserve"> </w:t>
      </w:r>
      <w:r>
        <w:rPr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Após análise do projeto, entende esta Comissão de forma unânime em votar favoravelmente pela aprovação do projeto</w:t>
      </w:r>
      <w:r>
        <w:rPr>
          <w:i w:val="false"/>
          <w:iCs w:val="false"/>
          <w:color w:val="000000"/>
          <w:sz w:val="24"/>
          <w:szCs w:val="24"/>
          <w:shd w:fill="FFFFFF" w:val="clear"/>
        </w:rPr>
        <w:t>.</w:t>
      </w:r>
    </w:p>
    <w:p>
      <w:pPr>
        <w:pStyle w:val="style0"/>
        <w:ind w:hanging="0" w:left="1701" w:right="706"/>
        <w:jc w:val="both"/>
      </w:pPr>
      <w:r>
        <w:rPr/>
      </w:r>
    </w:p>
    <w:p>
      <w:pPr>
        <w:pStyle w:val="style0"/>
        <w:ind w:hanging="0" w:left="1701" w:right="706"/>
        <w:jc w:val="both"/>
      </w:pPr>
      <w:r>
        <w:rPr/>
      </w:r>
    </w:p>
    <w:p>
      <w:pPr>
        <w:pStyle w:val="style0"/>
        <w:ind w:hanging="0" w:left="1701" w:right="706"/>
        <w:jc w:val="both"/>
      </w:pPr>
      <w:r>
        <w:rPr/>
      </w:r>
    </w:p>
    <w:p>
      <w:pPr>
        <w:pStyle w:val="style33"/>
        <w:shd w:fill="FFFFFF" w:val="clear"/>
        <w:spacing w:line="330" w:lineRule="atLeast"/>
        <w:ind w:hanging="0" w:left="1134" w:right="708"/>
        <w:jc w:val="right"/>
      </w:pPr>
      <w:r>
        <w:rPr/>
      </w:r>
    </w:p>
    <w:p>
      <w:pPr>
        <w:pStyle w:val="style33"/>
        <w:shd w:fill="FFFFFF" w:val="clear"/>
        <w:spacing w:line="330" w:lineRule="atLeast"/>
        <w:ind w:hanging="0" w:left="1134" w:right="708"/>
        <w:jc w:val="right"/>
      </w:pPr>
      <w:r>
        <w:rPr>
          <w:color w:val="000000"/>
          <w:lang w:val="pt-PT"/>
        </w:rPr>
        <w:t>Sala das Sessões, 08 de abril de 2014.</w:t>
      </w:r>
    </w:p>
    <w:p>
      <w:pPr>
        <w:pStyle w:val="style0"/>
        <w:tabs>
          <w:tab w:leader="none" w:pos="708" w:val="left"/>
          <w:tab w:leader="none" w:pos="960" w:val="left"/>
        </w:tabs>
        <w:ind w:hanging="0" w:left="0" w:right="-173"/>
      </w:pPr>
      <w:r>
        <w:rPr/>
      </w:r>
    </w:p>
    <w:p>
      <w:pPr>
        <w:pStyle w:val="style0"/>
        <w:spacing w:line="200" w:lineRule="atLeast"/>
        <w:ind w:hanging="0" w:left="0" w:right="-173"/>
        <w:jc w:val="center"/>
      </w:pPr>
      <w:r>
        <w:rPr/>
      </w:r>
    </w:p>
    <w:p>
      <w:pPr>
        <w:pStyle w:val="style0"/>
        <w:spacing w:line="200" w:lineRule="atLeast"/>
        <w:ind w:hanging="0" w:left="0" w:right="-173"/>
        <w:jc w:val="center"/>
      </w:pPr>
      <w:r>
        <w:rPr/>
      </w:r>
    </w:p>
    <w:p>
      <w:pPr>
        <w:pStyle w:val="style0"/>
        <w:spacing w:line="200" w:lineRule="atLeast"/>
        <w:ind w:hanging="0" w:left="0" w:right="-173"/>
      </w:pPr>
      <w:r>
        <w:rPr/>
      </w:r>
    </w:p>
    <w:tbl>
      <w:tblPr>
        <w:jc w:val="left"/>
        <w:tblBorders/>
        <w:tblInd w:type="dxa" w:w="-108"/>
      </w:tblPr>
      <w:tblGrid>
        <w:gridCol w:w="4182"/>
        <w:gridCol w:w="3689"/>
        <w:gridCol w:w="3118"/>
      </w:tblGrid>
      <w:tr>
        <w:trPr>
          <w:trHeight w:hRule="atLeast" w:val="1305"/>
          <w:cantSplit w:val="false"/>
        </w:trPr>
        <w:tc>
          <w:tcPr>
            <w:tcW w:type="dxa" w:w="418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1425" w:val="left"/>
                <w:tab w:leader="none" w:pos="2142" w:val="left"/>
                <w:tab w:leader="none" w:pos="2859" w:val="left"/>
                <w:tab w:leader="none" w:pos="3576" w:val="left"/>
                <w:tab w:leader="none" w:pos="4293" w:val="left"/>
                <w:tab w:leader="none" w:pos="7200" w:val="left"/>
                <w:tab w:leader="none" w:pos="7215" w:val="left"/>
              </w:tabs>
              <w:spacing w:line="200" w:lineRule="atLeast"/>
              <w:ind w:hanging="0" w:left="717" w:right="-318"/>
              <w:jc w:val="center"/>
            </w:pPr>
            <w:r>
              <w:rPr>
                <w:rFonts w:cs="Lucidasans" w:eastAsia="Bitstream Vera Sans"/>
              </w:rPr>
              <w:t>ROGÈRIO LUIZ KROHLING</w:t>
            </w:r>
            <w:r>
              <w:rPr>
                <w:rFonts w:eastAsia="Bitstream Vera Sans"/>
              </w:rPr>
              <w:t xml:space="preserve"> </w:t>
            </w:r>
          </w:p>
          <w:p>
            <w:pPr>
              <w:pStyle w:val="style0"/>
              <w:spacing w:line="200" w:lineRule="atLeast"/>
              <w:ind w:hanging="0" w:left="0" w:right="-173"/>
              <w:jc w:val="center"/>
            </w:pPr>
            <w:r>
              <w:rPr>
                <w:rFonts w:eastAsia="Bitstream Vera Sans"/>
              </w:rPr>
              <w:t>Secretário</w:t>
            </w:r>
          </w:p>
        </w:tc>
        <w:tc>
          <w:tcPr>
            <w:tcW w:type="dxa" w:w="368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00" w:lineRule="atLeast"/>
              <w:ind w:hanging="0" w:left="0" w:right="-173"/>
              <w:jc w:val="center"/>
            </w:pPr>
            <w:r>
              <w:rPr/>
            </w:r>
          </w:p>
          <w:p>
            <w:pPr>
              <w:pStyle w:val="style0"/>
              <w:spacing w:line="200" w:lineRule="atLeast"/>
              <w:ind w:hanging="0" w:left="0" w:right="-173"/>
              <w:jc w:val="center"/>
            </w:pPr>
            <w:r>
              <w:rPr/>
            </w:r>
          </w:p>
          <w:p>
            <w:pPr>
              <w:pStyle w:val="style0"/>
              <w:spacing w:line="200" w:lineRule="atLeast"/>
              <w:ind w:hanging="0" w:left="0" w:right="-173"/>
              <w:jc w:val="center"/>
            </w:pPr>
            <w:r>
              <w:rPr/>
            </w:r>
          </w:p>
        </w:tc>
        <w:tc>
          <w:tcPr>
            <w:tcW w:type="dxa" w:w="311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00" w:lineRule="atLeast"/>
              <w:jc w:val="center"/>
            </w:pPr>
            <w:r>
              <w:rPr>
                <w:rFonts w:cs="Lucidasans" w:eastAsia="Bitstream Vera Sans"/>
              </w:rPr>
              <w:t>IVAN LUIZ PAGANINI</w:t>
            </w:r>
          </w:p>
          <w:p>
            <w:pPr>
              <w:pStyle w:val="style0"/>
              <w:spacing w:line="200" w:lineRule="atLeast"/>
              <w:ind w:hanging="0" w:left="0" w:right="-173"/>
              <w:jc w:val="center"/>
            </w:pPr>
            <w:r>
              <w:rPr>
                <w:rFonts w:eastAsia="Bitstream Vera Sans"/>
              </w:rPr>
              <w:t>Presidente</w:t>
            </w:r>
          </w:p>
        </w:tc>
      </w:tr>
      <w:tr>
        <w:trPr>
          <w:cantSplit w:val="false"/>
        </w:trPr>
        <w:tc>
          <w:tcPr>
            <w:tcW w:type="dxa" w:w="418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00" w:lineRule="atLeast"/>
              <w:ind w:hanging="0" w:left="0" w:right="-173"/>
              <w:jc w:val="center"/>
            </w:pPr>
            <w:r>
              <w:rPr/>
            </w:r>
          </w:p>
        </w:tc>
        <w:tc>
          <w:tcPr>
            <w:tcW w:type="dxa" w:w="368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318" w:val="left"/>
                <w:tab w:leader="none" w:pos="396" w:val="left"/>
                <w:tab w:leader="none" w:pos="474" w:val="left"/>
                <w:tab w:leader="none" w:pos="552" w:val="left"/>
                <w:tab w:leader="none" w:pos="630" w:val="left"/>
                <w:tab w:leader="none" w:pos="6630" w:val="left"/>
                <w:tab w:leader="none" w:pos="7035" w:val="left"/>
              </w:tabs>
              <w:spacing w:line="200" w:lineRule="atLeast"/>
              <w:ind w:hanging="0" w:left="-78" w:right="-573"/>
            </w:pPr>
            <w:r>
              <w:rPr>
                <w:rFonts w:cs="Lucidasans" w:eastAsia="Bitstream Vera Sans"/>
              </w:rPr>
              <w:t>DIVINO DE SOUZA FERNANDES</w:t>
            </w:r>
          </w:p>
          <w:p>
            <w:pPr>
              <w:pStyle w:val="style0"/>
              <w:spacing w:line="200" w:lineRule="atLeast"/>
              <w:ind w:hanging="0" w:left="0" w:right="-173"/>
            </w:pPr>
            <w:r>
              <w:rPr>
                <w:rFonts w:eastAsia="Bitstream Vera Sans"/>
              </w:rPr>
              <w:t xml:space="preserve">                       </w:t>
            </w:r>
            <w:r>
              <w:rPr>
                <w:rFonts w:eastAsia="Bitstream Vera Sans"/>
              </w:rPr>
              <w:t>Relator</w:t>
            </w:r>
          </w:p>
        </w:tc>
        <w:tc>
          <w:tcPr>
            <w:tcW w:type="dxa" w:w="311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00" w:lineRule="atLeast"/>
              <w:ind w:hanging="0" w:left="0" w:right="-173"/>
              <w:jc w:val="center"/>
            </w:pPr>
            <w:r>
              <w:rPr/>
            </w:r>
          </w:p>
        </w:tc>
      </w:tr>
    </w:tbl>
    <w:p>
      <w:pPr>
        <w:pStyle w:val="style0"/>
        <w:spacing w:line="200" w:lineRule="atLeast"/>
        <w:ind w:hanging="0" w:left="0" w:right="-173"/>
        <w:jc w:val="center"/>
      </w:pPr>
      <w:r>
        <w:rPr/>
      </w:r>
    </w:p>
    <w:p>
      <w:pPr>
        <w:pStyle w:val="style0"/>
        <w:ind w:hanging="0" w:left="0" w:right="-173"/>
      </w:pPr>
      <w:r>
        <w:rPr/>
      </w:r>
    </w:p>
    <w:p>
      <w:pPr>
        <w:pStyle w:val="style0"/>
        <w:ind w:hanging="0" w:left="0" w:right="-173"/>
      </w:pPr>
      <w:r>
        <w:rPr/>
      </w:r>
    </w:p>
    <w:p>
      <w:pPr>
        <w:pStyle w:val="style0"/>
        <w:suppressAutoHyphens w:val="false"/>
        <w:ind w:hanging="0" w:left="0" w:right="422"/>
        <w:jc w:val="right"/>
      </w:pPr>
      <w:r>
        <w:rPr/>
      </w:r>
    </w:p>
    <w:p>
      <w:pPr>
        <w:pStyle w:val="style0"/>
        <w:suppressAutoHyphens w:val="false"/>
        <w:ind w:hanging="0" w:left="0" w:right="422"/>
        <w:jc w:val="right"/>
      </w:pPr>
      <w:r>
        <w:rPr/>
      </w:r>
    </w:p>
    <w:p>
      <w:pPr>
        <w:pStyle w:val="style33"/>
        <w:shd w:fill="FFFFFF" w:val="clear"/>
        <w:jc w:val="both"/>
      </w:pPr>
      <w:r>
        <w:rPr/>
      </w:r>
    </w:p>
    <w:p>
      <w:pPr>
        <w:pStyle w:val="style24"/>
        <w:spacing w:after="0" w:before="0" w:line="200" w:lineRule="atLeast"/>
        <w:jc w:val="both"/>
      </w:pPr>
      <w:r>
        <w:rPr/>
      </w:r>
    </w:p>
    <w:p>
      <w:pPr>
        <w:pStyle w:val="style24"/>
        <w:spacing w:after="0" w:before="0" w:line="200" w:lineRule="atLeast"/>
        <w:jc w:val="both"/>
      </w:pPr>
      <w:r>
        <w:rPr/>
      </w:r>
    </w:p>
    <w:p>
      <w:pPr>
        <w:pStyle w:val="style0"/>
        <w:spacing w:line="200" w:lineRule="atLeast"/>
        <w:jc w:val="center"/>
      </w:pPr>
      <w:r>
        <w:rPr/>
        <w:t xml:space="preserve">  </w:t>
      </w:r>
    </w:p>
    <w:sectPr>
      <w:headerReference r:id="rId5" w:type="default"/>
      <w:type w:val="nextPage"/>
      <w:pgSz w:h="16838" w:w="11906"/>
      <w:pgMar w:bottom="851" w:footer="0" w:gutter="0" w:header="142" w:left="0" w:right="0" w:top="1135"/>
      <w:pgNumType w:fmt="decimal"/>
      <w:formProt w:val="false"/>
      <w:textDirection w:val="lrTb"/>
      <w:docGrid w:charSpace="-6145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1"/>
    </w:pPr>
    <w:r>
      <w:rPr/>
    </w:r>
  </w:p>
</w:hdr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imes New Roman" w:eastAsia="Times New Roman" w:hAnsi="Times New Roman"/>
      <w:color w:val="00000A"/>
      <w:sz w:val="24"/>
      <w:szCs w:val="24"/>
      <w:lang w:bidi="ar-SA" w:eastAsia="ar-SA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Link da Internet"/>
    <w:next w:val="style18"/>
    <w:rPr>
      <w:color w:val="000080"/>
      <w:u w:val="single"/>
      <w:lang w:bidi="pt-BR" w:eastAsia="pt-BR" w:val="pt-BR"/>
    </w:rPr>
  </w:style>
  <w:style w:styleId="style19" w:type="character">
    <w:name w:val="Corpo de texto Char"/>
    <w:basedOn w:val="style15"/>
    <w:next w:val="style19"/>
    <w:rPr>
      <w:rFonts w:ascii="Times New Roman" w:cs="Times New Roman" w:eastAsia="Times New Roman" w:hAnsi="Times New Roman"/>
      <w:sz w:val="24"/>
      <w:szCs w:val="24"/>
      <w:lang w:eastAsia="ar-SA"/>
    </w:rPr>
  </w:style>
  <w:style w:styleId="style20" w:type="character">
    <w:name w:val="apple-converted-space"/>
    <w:basedOn w:val="style15"/>
    <w:next w:val="style20"/>
    <w:rPr/>
  </w:style>
  <w:style w:styleId="style21" w:type="character">
    <w:name w:val="Texto de balão Char"/>
    <w:basedOn w:val="style15"/>
    <w:next w:val="style21"/>
    <w:rPr>
      <w:rFonts w:ascii="Tahoma" w:cs="Tahoma" w:eastAsia="Times New Roman" w:hAnsi="Tahoma"/>
      <w:sz w:val="16"/>
      <w:szCs w:val="16"/>
      <w:lang w:eastAsia="ar-SA"/>
    </w:rPr>
  </w:style>
  <w:style w:styleId="style22" w:type="character">
    <w:name w:val="Ênfase"/>
    <w:next w:val="style22"/>
    <w:rPr>
      <w:i/>
      <w:iCs/>
    </w:rPr>
  </w:style>
  <w:style w:styleId="style23" w:type="paragraph">
    <w:name w:val="Título"/>
    <w:basedOn w:val="style0"/>
    <w:next w:val="style24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24" w:type="paragraph">
    <w:name w:val="Corpo de texto"/>
    <w:basedOn w:val="style0"/>
    <w:next w:val="style24"/>
    <w:pPr>
      <w:spacing w:after="120" w:before="0"/>
    </w:pPr>
    <w:rPr/>
  </w:style>
  <w:style w:styleId="style25" w:type="paragraph">
    <w:name w:val="Lista"/>
    <w:basedOn w:val="style24"/>
    <w:next w:val="style25"/>
    <w:pPr/>
    <w:rPr>
      <w:rFonts w:cs="Mangal"/>
    </w:rPr>
  </w:style>
  <w:style w:styleId="style26" w:type="paragraph">
    <w:name w:val="Legenda"/>
    <w:basedOn w:val="style0"/>
    <w:next w:val="style26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7" w:type="paragraph">
    <w:name w:val="Índice"/>
    <w:basedOn w:val="style0"/>
    <w:next w:val="style27"/>
    <w:pPr>
      <w:suppressLineNumbers/>
    </w:pPr>
    <w:rPr>
      <w:rFonts w:cs="Mangal"/>
    </w:rPr>
  </w:style>
  <w:style w:styleId="style28" w:type="paragraph">
    <w:name w:val="Título principal"/>
    <w:basedOn w:val="style0"/>
    <w:next w:val="style29"/>
    <w:pPr>
      <w:keepNext/>
      <w:spacing w:after="120" w:before="240"/>
      <w:jc w:val="center"/>
    </w:pPr>
    <w:rPr>
      <w:rFonts w:ascii="Arial" w:cs="Mangal" w:eastAsia="Microsoft YaHei" w:hAnsi="Arial"/>
      <w:b/>
      <w:bCs/>
      <w:sz w:val="28"/>
      <w:szCs w:val="28"/>
    </w:rPr>
  </w:style>
  <w:style w:styleId="style29" w:type="paragraph">
    <w:name w:val="Subtítulo"/>
    <w:basedOn w:val="style23"/>
    <w:next w:val="style24"/>
    <w:pPr>
      <w:jc w:val="center"/>
    </w:pPr>
    <w:rPr>
      <w:i/>
      <w:iCs/>
      <w:sz w:val="28"/>
      <w:szCs w:val="28"/>
    </w:rPr>
  </w:style>
  <w:style w:styleId="style30" w:type="paragraph">
    <w:name w:val="caption"/>
    <w:basedOn w:val="style0"/>
    <w:next w:val="style30"/>
    <w:pPr>
      <w:suppressLineNumbers/>
      <w:spacing w:after="120" w:before="120"/>
    </w:pPr>
    <w:rPr>
      <w:rFonts w:cs="Mangal"/>
      <w:i/>
      <w:iCs/>
    </w:rPr>
  </w:style>
  <w:style w:styleId="style31" w:type="paragraph">
    <w:name w:val="Cabeçalho"/>
    <w:basedOn w:val="style0"/>
    <w:next w:val="style31"/>
    <w:pPr>
      <w:suppressLineNumbers/>
      <w:tabs>
        <w:tab w:leader="none" w:pos="4252" w:val="center"/>
        <w:tab w:leader="none" w:pos="8504" w:val="right"/>
      </w:tabs>
      <w:suppressAutoHyphens w:val="false"/>
    </w:pPr>
    <w:rPr>
      <w:rFonts w:ascii="Calibri" w:hAnsi="Calibri"/>
      <w:sz w:val="22"/>
      <w:szCs w:val="22"/>
      <w:lang w:eastAsia="en-US"/>
    </w:rPr>
  </w:style>
  <w:style w:styleId="style32" w:type="paragraph">
    <w:name w:val="Rodapé"/>
    <w:basedOn w:val="style0"/>
    <w:next w:val="style32"/>
    <w:pPr>
      <w:suppressLineNumbers/>
      <w:tabs>
        <w:tab w:leader="none" w:pos="4252" w:val="center"/>
        <w:tab w:leader="none" w:pos="8504" w:val="right"/>
      </w:tabs>
      <w:suppressAutoHyphens w:val="false"/>
    </w:pPr>
    <w:rPr>
      <w:rFonts w:ascii="Calibri" w:hAnsi="Calibri"/>
      <w:sz w:val="22"/>
      <w:szCs w:val="22"/>
      <w:lang w:eastAsia="en-US"/>
    </w:rPr>
  </w:style>
  <w:style w:styleId="style33" w:type="paragraph">
    <w:name w:val="ecxmsonormal"/>
    <w:basedOn w:val="style0"/>
    <w:next w:val="style33"/>
    <w:pPr>
      <w:suppressAutoHyphens w:val="false"/>
      <w:spacing w:after="28" w:before="28"/>
    </w:pPr>
    <w:rPr>
      <w:lang w:eastAsia="pt-BR"/>
    </w:rPr>
  </w:style>
  <w:style w:styleId="style34" w:type="paragraph">
    <w:name w:val="WW-Corpo de texto 2"/>
    <w:basedOn w:val="style0"/>
    <w:next w:val="style34"/>
    <w:pPr>
      <w:widowControl w:val="false"/>
      <w:jc w:val="both"/>
    </w:pPr>
    <w:rPr>
      <w:rFonts w:ascii="Nimbus Roman No9 L" w:cs="Nimbus Roman No9 L" w:eastAsia="Bitstream Vera Sans" w:hAnsi="Nimbus Roman No9 L"/>
      <w:szCs w:val="20"/>
    </w:rPr>
  </w:style>
  <w:style w:styleId="style35" w:type="paragraph">
    <w:name w:val="Balloon Text"/>
    <w:basedOn w:val="style0"/>
    <w:next w:val="style35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yperlink" Target="http://www.camaradomingosmartins.es.gov.br/" TargetMode="External"/><Relationship Id="rId4" Type="http://schemas.openxmlformats.org/officeDocument/2006/relationships/hyperlink" Target="mailto:cmdmartins@camaradomingosmartins.es.gov.br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2014-01-13T17:51:00.00Z</dcterms:created>
  <dc:creator>Monique Reunião</dc:creator>
  <cp:lastModifiedBy>Usuario</cp:lastModifiedBy>
  <cp:lastPrinted>2014-04-07T09:32:58.70Z</cp:lastPrinted>
  <dcterms:modified xsi:type="dcterms:W3CDTF">2014-03-25T18:50:00.00Z</dcterms:modified>
  <cp:revision>5</cp:revision>
</cp:coreProperties>
</file>